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1FBC8406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197ED6">
        <w:rPr>
          <w:b/>
        </w:rPr>
        <w:t>3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  <w:gridCol w:w="2819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00ABC092" w:rsidR="008F1A9B" w:rsidRPr="00141BF9" w:rsidRDefault="004F5249" w:rsidP="00141BF9">
            <w:pPr>
              <w:pStyle w:val="Vakiosisennys"/>
              <w:ind w:left="0"/>
              <w:rPr>
                <w:b/>
                <w:szCs w:val="24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407F">
              <w:t>Tuusniemen</w:t>
            </w:r>
            <w:r w:rsidR="00E36680">
              <w:rPr>
                <w:noProof/>
              </w:rPr>
              <w:t xml:space="preserve"> laajakaistahanke, </w:t>
            </w:r>
            <w:r w:rsidR="00E1407F">
              <w:rPr>
                <w:noProof/>
              </w:rPr>
              <w:t>Tuusniemi</w:t>
            </w:r>
            <w:r>
              <w:fldChar w:fldCharType="end"/>
            </w:r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0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2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4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3B467F86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</w:t>
            </w:r>
            <w:r w:rsidR="00E36680" w:rsidRPr="00E22DC7">
              <w:rPr>
                <w:sz w:val="22"/>
                <w:szCs w:val="22"/>
              </w:rPr>
              <w:t>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77777777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1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511A970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354DE">
              <w:t>33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5BB47C28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354DE">
              <w:t>33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0429DC5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2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4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5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5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6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77777777" w:rsidR="00ED65B0" w:rsidRPr="00907281" w:rsidRDefault="00ED65B0" w:rsidP="00E14BC6"/>
    <w:sectPr w:rsidR="00ED65B0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8C343" w14:textId="77777777" w:rsidR="006C2C1C" w:rsidRDefault="006C2C1C">
      <w:r>
        <w:separator/>
      </w:r>
    </w:p>
  </w:endnote>
  <w:endnote w:type="continuationSeparator" w:id="0">
    <w:p w14:paraId="4DCE4A0E" w14:textId="77777777" w:rsidR="006C2C1C" w:rsidRDefault="006C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A1B1" w14:textId="77777777" w:rsidR="006C2C1C" w:rsidRDefault="006C2C1C">
      <w:r>
        <w:separator/>
      </w:r>
    </w:p>
  </w:footnote>
  <w:footnote w:type="continuationSeparator" w:id="0">
    <w:p w14:paraId="5E573322" w14:textId="77777777" w:rsidR="006C2C1C" w:rsidRDefault="006C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 w16cid:durableId="540703922">
    <w:abstractNumId w:val="0"/>
  </w:num>
  <w:num w:numId="2" w16cid:durableId="1578635488">
    <w:abstractNumId w:val="2"/>
  </w:num>
  <w:num w:numId="3" w16cid:durableId="166763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97ED6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E1947"/>
    <w:rsid w:val="002E3798"/>
    <w:rsid w:val="002E5B31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3E5DC5"/>
    <w:rsid w:val="0040069F"/>
    <w:rsid w:val="0041050F"/>
    <w:rsid w:val="004171ED"/>
    <w:rsid w:val="004210A8"/>
    <w:rsid w:val="0044377A"/>
    <w:rsid w:val="00465A15"/>
    <w:rsid w:val="00473830"/>
    <w:rsid w:val="00496743"/>
    <w:rsid w:val="004C3B93"/>
    <w:rsid w:val="004F01AD"/>
    <w:rsid w:val="004F5249"/>
    <w:rsid w:val="0050155B"/>
    <w:rsid w:val="00592936"/>
    <w:rsid w:val="00602634"/>
    <w:rsid w:val="00602E87"/>
    <w:rsid w:val="006142AE"/>
    <w:rsid w:val="006354DE"/>
    <w:rsid w:val="00642BBB"/>
    <w:rsid w:val="00643CF5"/>
    <w:rsid w:val="00665400"/>
    <w:rsid w:val="006A142C"/>
    <w:rsid w:val="006A52A1"/>
    <w:rsid w:val="006B1969"/>
    <w:rsid w:val="006B343E"/>
    <w:rsid w:val="006B56F5"/>
    <w:rsid w:val="006C2C1C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B7AA5"/>
    <w:rsid w:val="007D0DD8"/>
    <w:rsid w:val="007D4A7C"/>
    <w:rsid w:val="007E07C3"/>
    <w:rsid w:val="0082728F"/>
    <w:rsid w:val="00877E73"/>
    <w:rsid w:val="008A0D93"/>
    <w:rsid w:val="008A3506"/>
    <w:rsid w:val="008F1A9B"/>
    <w:rsid w:val="00907281"/>
    <w:rsid w:val="00954574"/>
    <w:rsid w:val="0095476F"/>
    <w:rsid w:val="009641E6"/>
    <w:rsid w:val="00967382"/>
    <w:rsid w:val="009A2EC9"/>
    <w:rsid w:val="009A3270"/>
    <w:rsid w:val="009B5988"/>
    <w:rsid w:val="009C1745"/>
    <w:rsid w:val="009E73B9"/>
    <w:rsid w:val="009F342C"/>
    <w:rsid w:val="00A70C29"/>
    <w:rsid w:val="00AB35FC"/>
    <w:rsid w:val="00AE02E6"/>
    <w:rsid w:val="00B04CDA"/>
    <w:rsid w:val="00B15F88"/>
    <w:rsid w:val="00B34119"/>
    <w:rsid w:val="00B6364D"/>
    <w:rsid w:val="00B95A06"/>
    <w:rsid w:val="00BC104C"/>
    <w:rsid w:val="00BE1F86"/>
    <w:rsid w:val="00C2464F"/>
    <w:rsid w:val="00C536C2"/>
    <w:rsid w:val="00CE3520"/>
    <w:rsid w:val="00D04203"/>
    <w:rsid w:val="00D34E0C"/>
    <w:rsid w:val="00D552FD"/>
    <w:rsid w:val="00D71BE5"/>
    <w:rsid w:val="00D82419"/>
    <w:rsid w:val="00D92C4E"/>
    <w:rsid w:val="00DF672A"/>
    <w:rsid w:val="00E1407F"/>
    <w:rsid w:val="00E14BC6"/>
    <w:rsid w:val="00E22DC7"/>
    <w:rsid w:val="00E36680"/>
    <w:rsid w:val="00E90206"/>
    <w:rsid w:val="00E93587"/>
    <w:rsid w:val="00ED65B0"/>
    <w:rsid w:val="00EE7D10"/>
    <w:rsid w:val="00EF7453"/>
    <w:rsid w:val="00F249EE"/>
    <w:rsid w:val="00F3044F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2</TotalTime>
  <Pages>4</Pages>
  <Words>844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5</cp:revision>
  <cp:lastPrinted>2010-05-06T13:27:00Z</cp:lastPrinted>
  <dcterms:created xsi:type="dcterms:W3CDTF">2023-01-11T08:37:00Z</dcterms:created>
  <dcterms:modified xsi:type="dcterms:W3CDTF">2023-03-14T07:40:00Z</dcterms:modified>
</cp:coreProperties>
</file>